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https://pm149lodz.bip.wikom.pl/strona/strona-glowna</w:t>
            </w:r>
          </w:p>
          <w:p>
            <w:pPr/>
            <w:r>
              <w:rPr/>
              <w:t xml:space="preserve">https://pm149lodz.bip.wikom.pl/strona/status-prawny</w:t>
            </w:r>
          </w:p>
          <w:p>
            <w:pPr/>
            <w:r>
              <w:rPr/>
              <w:t xml:space="preserve">https://pm149lodz.bip.wikom.pl/strona/sposob-zalatwiania-spraw</w:t>
            </w:r>
          </w:p>
          <w:p>
            <w:pPr/>
            <w:r>
              <w:rPr/>
              <w:t xml:space="preserve">https://pm149lodz.bip.wikom.pl/strona/rejestry-ewidencje-archiwa</w:t>
            </w:r>
          </w:p>
          <w:p>
            <w:pPr/>
            <w:r>
              <w:rPr/>
              <w:t xml:space="preserve">https://pm149lodz.bip.wikom.pl/strona/rejestry-ewidencje-archiwa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2026-03-30T12:26:55+00:00</dcterms:created>
  <dcterms:modified xsi:type="dcterms:W3CDTF">2026-03-30T12:26:55+00:00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